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157" w:afterLines="50" w:line="360" w:lineRule="auto"/>
        <w:jc w:val="center"/>
        <w:textAlignment w:val="auto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高压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反应釜操作规则</w:t>
      </w:r>
    </w:p>
    <w:p>
      <w:pPr>
        <w:snapToGrid w:val="0"/>
        <w:spacing w:line="360" w:lineRule="auto"/>
        <w:ind w:firstLine="480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水热/溶剂热反应釜为压力容器，加热最高温度应小于相应类型反应釜的最高反应温度，一般不超过180℃</w:t>
      </w:r>
      <w:r>
        <w:rPr>
          <w:rFonts w:hint="eastAsia" w:ascii="仿宋" w:hAnsi="仿宋" w:eastAsia="仿宋" w:cs="仿宋"/>
          <w:sz w:val="24"/>
          <w:lang w:eastAsia="zh-CN"/>
        </w:rPr>
        <w:t>，</w:t>
      </w:r>
      <w:r>
        <w:rPr>
          <w:rFonts w:hint="eastAsia" w:ascii="仿宋" w:hAnsi="仿宋" w:eastAsia="仿宋" w:cs="仿宋"/>
          <w:sz w:val="24"/>
        </w:rPr>
        <w:t>已变形或有裂纹的反应釜不能使用。具体操作步骤如下：</w:t>
      </w:r>
    </w:p>
    <w:p>
      <w:pPr>
        <w:numPr>
          <w:ilvl w:val="0"/>
          <w:numId w:val="1"/>
        </w:numPr>
        <w:snapToGrid w:val="0"/>
        <w:spacing w:line="360" w:lineRule="auto"/>
        <w:rPr>
          <w:rFonts w:hint="eastAsia" w:ascii="仿宋" w:hAnsi="仿宋" w:eastAsia="仿宋" w:cs="仿宋"/>
          <w:color w:val="000000"/>
          <w:sz w:val="24"/>
        </w:rPr>
      </w:pPr>
      <w:r>
        <w:rPr>
          <w:rFonts w:hint="eastAsia" w:ascii="仿宋" w:hAnsi="仿宋" w:eastAsia="仿宋" w:cs="仿宋"/>
          <w:color w:val="000000"/>
          <w:sz w:val="24"/>
        </w:rPr>
        <w:t>将反应物倒入聚四氟乙烯衬套内，并保证加料总体积小于内胆容积80％；</w:t>
      </w:r>
    </w:p>
    <w:p>
      <w:pPr>
        <w:numPr>
          <w:ilvl w:val="0"/>
          <w:numId w:val="1"/>
        </w:numPr>
        <w:snapToGrid w:val="0"/>
        <w:spacing w:line="360" w:lineRule="auto"/>
        <w:rPr>
          <w:rFonts w:hint="eastAsia" w:ascii="仿宋" w:hAnsi="仿宋" w:eastAsia="仿宋" w:cs="仿宋"/>
          <w:color w:val="000000"/>
          <w:sz w:val="24"/>
        </w:rPr>
      </w:pPr>
      <w:r>
        <w:rPr>
          <w:rFonts w:hint="eastAsia" w:ascii="仿宋" w:hAnsi="仿宋" w:eastAsia="仿宋" w:cs="仿宋"/>
          <w:color w:val="000000"/>
          <w:sz w:val="24"/>
        </w:rPr>
        <w:t>确保釜体下垫片位置正确（凸起面向下），然后放入聚四氟乙烯衬套和上垫片，先拧紧釜盖，然后用螺杆把釜盖旋扭拧紧为止；   </w:t>
      </w:r>
    </w:p>
    <w:p>
      <w:pPr>
        <w:numPr>
          <w:ilvl w:val="0"/>
          <w:numId w:val="1"/>
        </w:numPr>
        <w:snapToGrid w:val="0"/>
        <w:spacing w:line="360" w:lineRule="auto"/>
        <w:rPr>
          <w:rFonts w:hint="eastAsia" w:ascii="仿宋" w:hAnsi="仿宋" w:eastAsia="仿宋" w:cs="仿宋"/>
          <w:color w:val="000000"/>
          <w:sz w:val="24"/>
        </w:rPr>
      </w:pPr>
      <w:r>
        <w:rPr>
          <w:rFonts w:hint="eastAsia" w:ascii="仿宋" w:hAnsi="仿宋" w:eastAsia="仿宋" w:cs="仿宋"/>
          <w:color w:val="000000"/>
          <w:sz w:val="24"/>
        </w:rPr>
        <w:t>将水热合成反应釜置于干燥箱内，按照规定的升温速率升温至所需反应温度，反应最高温度必须低于安全使用温度；  </w:t>
      </w:r>
    </w:p>
    <w:p>
      <w:pPr>
        <w:numPr>
          <w:ilvl w:val="0"/>
          <w:numId w:val="1"/>
        </w:numPr>
        <w:snapToGrid w:val="0"/>
        <w:spacing w:line="360" w:lineRule="auto"/>
        <w:rPr>
          <w:rFonts w:hint="eastAsia" w:ascii="仿宋" w:hAnsi="仿宋" w:eastAsia="仿宋" w:cs="仿宋"/>
          <w:color w:val="000000"/>
          <w:sz w:val="24"/>
        </w:rPr>
      </w:pPr>
      <w:r>
        <w:rPr>
          <w:rFonts w:hint="eastAsia" w:ascii="仿宋" w:hAnsi="仿宋" w:eastAsia="仿宋" w:cs="仿宋"/>
          <w:color w:val="000000"/>
          <w:sz w:val="24"/>
        </w:rPr>
        <w:t>反应结束后，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</w:rPr>
        <w:t>自然冷却至室温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lang w:val="en-US" w:eastAsia="zh-CN"/>
        </w:rPr>
        <w:t>(</w:t>
      </w:r>
      <w:r>
        <w:rPr>
          <w:rFonts w:hint="eastAsia" w:ascii="仿宋" w:hAnsi="仿宋" w:eastAsia="仿宋" w:cs="仿宋"/>
          <w:b/>
          <w:bCs/>
          <w:color w:val="FF0000"/>
          <w:sz w:val="32"/>
          <w:szCs w:val="32"/>
          <w:highlight w:val="none"/>
          <w:lang w:val="en-US" w:eastAsia="zh-CN"/>
        </w:rPr>
        <w:t>注意不要用水淬冷！！！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lang w:val="en-US" w:eastAsia="zh-CN"/>
        </w:rPr>
        <w:t>)</w:t>
      </w:r>
      <w:r>
        <w:rPr>
          <w:rFonts w:hint="eastAsia" w:ascii="仿宋" w:hAnsi="仿宋" w:eastAsia="仿宋" w:cs="仿宋"/>
          <w:color w:val="000000"/>
          <w:sz w:val="24"/>
        </w:rPr>
        <w:t>，才能取出反应釜，进行后续相关操作；</w:t>
      </w:r>
    </w:p>
    <w:p>
      <w:pPr>
        <w:numPr>
          <w:ilvl w:val="0"/>
          <w:numId w:val="1"/>
        </w:numPr>
        <w:snapToGrid w:val="0"/>
        <w:spacing w:line="360" w:lineRule="auto"/>
        <w:rPr>
          <w:rFonts w:hint="eastAsia" w:ascii="仿宋" w:hAnsi="仿宋" w:eastAsia="仿宋" w:cs="仿宋"/>
          <w:color w:val="000000"/>
          <w:sz w:val="24"/>
        </w:rPr>
      </w:pPr>
      <w:r>
        <w:rPr>
          <w:rFonts w:hint="eastAsia" w:ascii="仿宋" w:hAnsi="仿宋" w:eastAsia="仿宋" w:cs="仿宋"/>
          <w:color w:val="000000"/>
          <w:sz w:val="24"/>
        </w:rPr>
        <w:t>水热合成反应釜每次使用后要及时将其清洗干净，内胆和外套分开，50℃下干燥，以免锈蚀</w:t>
      </w:r>
      <w:r>
        <w:rPr>
          <w:rFonts w:hint="eastAsia" w:ascii="仿宋" w:hAnsi="仿宋" w:eastAsia="仿宋" w:cs="仿宋"/>
          <w:color w:val="000000"/>
          <w:sz w:val="24"/>
          <w:lang w:eastAsia="zh-CN"/>
        </w:rPr>
        <w:t>，</w:t>
      </w:r>
      <w:r>
        <w:rPr>
          <w:rFonts w:hint="eastAsia" w:ascii="仿宋" w:hAnsi="仿宋" w:eastAsia="仿宋" w:cs="仿宋"/>
          <w:color w:val="000000"/>
          <w:sz w:val="24"/>
        </w:rPr>
        <w:t>釜体、釜盖线密封处要格外注意清洗干净，并严防将其碰伤损坏；</w:t>
      </w:r>
    </w:p>
    <w:p>
      <w:pPr>
        <w:numPr>
          <w:ilvl w:val="0"/>
          <w:numId w:val="1"/>
        </w:numPr>
        <w:snapToGrid w:val="0"/>
        <w:spacing w:line="360" w:lineRule="auto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溶剂热反应的溶剂严禁使用低沸点易挥发溶剂，如丙酮、苯、己烷等，容易产生过高内压而发生爆炸；</w:t>
      </w:r>
    </w:p>
    <w:p>
      <w:pPr>
        <w:numPr>
          <w:ilvl w:val="0"/>
          <w:numId w:val="1"/>
        </w:numPr>
        <w:snapToGrid w:val="0"/>
        <w:spacing w:line="360" w:lineRule="auto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反应体系若有气体产生，如氮气、氢气等溶解性低的气体，不适合采用水热/溶剂热反应；学生拿不准的体系，如确需进行反应，应在导师的指导下进行</w:t>
      </w:r>
      <w:r>
        <w:rPr>
          <w:rFonts w:hint="eastAsia" w:ascii="仿宋" w:hAnsi="仿宋" w:eastAsia="仿宋" w:cs="仿宋"/>
          <w:sz w:val="24"/>
          <w:lang w:eastAsia="zh-CN"/>
        </w:rPr>
        <w:t>；</w:t>
      </w:r>
    </w:p>
    <w:p>
      <w:pPr>
        <w:numPr>
          <w:ilvl w:val="0"/>
          <w:numId w:val="1"/>
        </w:numPr>
        <w:snapToGrid w:val="0"/>
        <w:spacing w:line="360" w:lineRule="auto"/>
        <w:rPr>
          <w:rFonts w:hint="eastAsia" w:ascii="仿宋" w:hAnsi="仿宋" w:eastAsia="仿宋" w:cs="仿宋"/>
          <w:color w:val="000000"/>
          <w:sz w:val="24"/>
        </w:rPr>
      </w:pPr>
      <w:r>
        <w:rPr>
          <w:rFonts w:hint="eastAsia" w:ascii="仿宋" w:hAnsi="仿宋" w:eastAsia="仿宋" w:cs="仿宋"/>
          <w:color w:val="000000"/>
          <w:sz w:val="24"/>
        </w:rPr>
        <w:t>应合理安排反应时间，反应尽可能不要过夜进行。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57" w:beforeLines="50" w:after="157" w:afterLines="50" w:line="360" w:lineRule="auto"/>
        <w:jc w:val="center"/>
        <w:textAlignment w:val="auto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高压反应釜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清洗</w:t>
      </w: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规则</w:t>
      </w:r>
    </w:p>
    <w:p>
      <w:pPr>
        <w:snapToGrid w:val="0"/>
        <w:spacing w:line="360" w:lineRule="auto"/>
        <w:rPr>
          <w:rFonts w:hint="eastAsia" w:ascii="仿宋" w:hAnsi="仿宋" w:eastAsia="仿宋" w:cs="仿宋"/>
          <w:color w:val="000000"/>
          <w:sz w:val="24"/>
        </w:rPr>
      </w:pPr>
      <w:r>
        <w:rPr>
          <w:rFonts w:hint="eastAsia" w:ascii="仿宋" w:hAnsi="仿宋" w:eastAsia="仿宋" w:cs="仿宋"/>
          <w:color w:val="000000"/>
          <w:sz w:val="24"/>
        </w:rPr>
        <w:t>1. 酸洗法。在</w:t>
      </w:r>
      <w:r>
        <w:rPr>
          <w:rFonts w:hint="eastAsia" w:ascii="仿宋" w:hAnsi="仿宋" w:eastAsia="仿宋" w:cs="仿宋"/>
          <w:color w:val="000000"/>
          <w:sz w:val="24"/>
          <w:lang w:eastAsia="zh-CN"/>
        </w:rPr>
        <w:t>反应釜</w:t>
      </w:r>
      <w:r>
        <w:rPr>
          <w:rFonts w:hint="eastAsia" w:ascii="仿宋" w:hAnsi="仿宋" w:eastAsia="仿宋" w:cs="仿宋"/>
          <w:color w:val="000000"/>
          <w:sz w:val="24"/>
        </w:rPr>
        <w:t>内加入在敞口容器中配制好的约1:5的硝酸和水的混合稀溶液，加热温度不得超过140℃，严格控制硝酸和水的混合溶液比</w:t>
      </w:r>
      <w:r>
        <w:rPr>
          <w:rFonts w:hint="eastAsia" w:ascii="仿宋" w:hAnsi="仿宋" w:eastAsia="仿宋" w:cs="仿宋"/>
          <w:color w:val="000000"/>
          <w:sz w:val="24"/>
          <w:lang w:eastAsia="zh-CN"/>
        </w:rPr>
        <w:t>；</w:t>
      </w:r>
      <w:r>
        <w:rPr>
          <w:rFonts w:hint="eastAsia" w:ascii="仿宋" w:hAnsi="仿宋" w:eastAsia="仿宋" w:cs="仿宋"/>
          <w:color w:val="000000"/>
          <w:sz w:val="24"/>
        </w:rPr>
        <w:t xml:space="preserve"> </w:t>
      </w:r>
    </w:p>
    <w:p>
      <w:pPr>
        <w:snapToGrid w:val="0"/>
        <w:spacing w:line="360" w:lineRule="auto"/>
        <w:rPr>
          <w:rFonts w:hint="eastAsia" w:ascii="仿宋" w:hAnsi="仿宋" w:eastAsia="仿宋" w:cs="仿宋"/>
          <w:color w:val="000000"/>
          <w:sz w:val="24"/>
        </w:rPr>
      </w:pPr>
      <w:r>
        <w:rPr>
          <w:rFonts w:hint="eastAsia" w:ascii="仿宋" w:hAnsi="仿宋" w:eastAsia="仿宋" w:cs="仿宋"/>
          <w:color w:val="000000"/>
          <w:sz w:val="24"/>
        </w:rPr>
        <w:t>2. 也可根据拟洗涤物类型选择清洗试剂,在导师的指导下确保安全采取合适的方法清洗。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71ED5D8"/>
    <w:multiLevelType w:val="singleLevel"/>
    <w:tmpl w:val="571ED5D8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ED028F"/>
    <w:rsid w:val="74ED0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2021-04-02T02:24:00Z</dcterms:created>
  <dc:creator>Administrator</dc:creator>
  <cp:lastModifiedBy>Administrator</cp:lastModifiedBy>
  <dcterms:modified xsi:type="dcterms:W3CDTF">2021-04-02T02:24:41Z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849D1301054A42E6BB481A6328CC2E50</vt:lpwstr>
  </property>
</Properties>
</file>